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29AA" w14:textId="7B97C898" w:rsidR="00582940" w:rsidRPr="00613B92" w:rsidRDefault="00582940" w:rsidP="000C4BDE">
      <w:pPr>
        <w:jc w:val="both"/>
        <w:rPr>
          <w:rFonts w:cstheme="minorHAnsi"/>
          <w:i/>
          <w:sz w:val="16"/>
          <w:szCs w:val="16"/>
          <w:lang w:val="pt-PT"/>
        </w:rPr>
      </w:pPr>
      <w:r w:rsidRPr="00613B92">
        <w:rPr>
          <w:rFonts w:cstheme="minorHAnsi"/>
          <w:noProof/>
          <w:sz w:val="16"/>
          <w:szCs w:val="16"/>
        </w:rPr>
        <w:drawing>
          <wp:inline distT="0" distB="0" distL="0" distR="0" wp14:anchorId="44B1496D" wp14:editId="51D87671">
            <wp:extent cx="838200" cy="1257608"/>
            <wp:effectExtent l="0" t="0" r="0" b="0"/>
            <wp:docPr id="7" name="Picture 7" descr="A picture containing person, outd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person, outdoor,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045" cy="12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B92">
        <w:rPr>
          <w:rFonts w:cstheme="minorHAnsi"/>
          <w:i/>
          <w:iCs/>
          <w:noProof/>
          <w:sz w:val="16"/>
          <w:szCs w:val="16"/>
          <w:lang w:val="pt-PT"/>
        </w:rPr>
        <w:drawing>
          <wp:inline distT="0" distB="0" distL="0" distR="0" wp14:anchorId="02C8DFA3" wp14:editId="44FD13BD">
            <wp:extent cx="1685925" cy="1266276"/>
            <wp:effectExtent l="0" t="0" r="0" b="0"/>
            <wp:docPr id="34" name="Picture 34" descr="A person sitting at a table with a micro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person sitting at a table with a micro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063" cy="129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B92">
        <w:rPr>
          <w:rFonts w:cstheme="minorHAnsi"/>
          <w:noProof/>
          <w:sz w:val="16"/>
          <w:szCs w:val="16"/>
        </w:rPr>
        <w:drawing>
          <wp:inline distT="0" distB="0" distL="0" distR="0" wp14:anchorId="685057B5" wp14:editId="4DEB2ADE">
            <wp:extent cx="2371725" cy="1257123"/>
            <wp:effectExtent l="0" t="0" r="0" b="635"/>
            <wp:docPr id="1284826880" name="Picture 3" descr="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826880" name="Picture 3" descr="A person in a s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741" cy="127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DD036" w14:textId="317B5596" w:rsidR="00582940" w:rsidRPr="00613B92" w:rsidRDefault="003326F1" w:rsidP="00582940">
      <w:pPr>
        <w:pStyle w:val="Quote"/>
        <w:rPr>
          <w:rFonts w:asciiTheme="minorHAnsi" w:hAnsiTheme="minorHAnsi" w:cstheme="minorHAnsi"/>
          <w:noProof w:val="0"/>
          <w:sz w:val="16"/>
          <w:szCs w:val="16"/>
          <w:lang w:eastAsia="pt-PT"/>
        </w:rPr>
      </w:pPr>
      <w:hyperlink r:id="rId8" w:history="1">
        <w:r w:rsidRPr="00613B92">
          <w:rPr>
            <w:rStyle w:val="Hyperlink"/>
            <w:rFonts w:asciiTheme="minorHAnsi" w:hAnsiTheme="minorHAnsi" w:cstheme="minorHAnsi"/>
            <w:iCs/>
            <w:sz w:val="16"/>
            <w:szCs w:val="16"/>
          </w:rPr>
          <w:t>chrys@lusofonias.net</w:t>
        </w:r>
      </w:hyperlink>
      <w:r w:rsidRPr="00613B92">
        <w:rPr>
          <w:rStyle w:val="Hyperlink"/>
          <w:rFonts w:asciiTheme="minorHAnsi" w:hAnsiTheme="minorHAnsi" w:cstheme="minorHAnsi"/>
          <w:iCs/>
          <w:sz w:val="16"/>
          <w:szCs w:val="16"/>
          <w:u w:val="none"/>
        </w:rPr>
        <w:t xml:space="preserve">   -  </w:t>
      </w:r>
      <w:r w:rsidR="00582940" w:rsidRPr="00613B92">
        <w:rPr>
          <w:rStyle w:val="Hyperlink"/>
          <w:rFonts w:asciiTheme="minorHAnsi" w:hAnsiTheme="minorHAnsi" w:cstheme="minorHAnsi"/>
          <w:i w:val="0"/>
          <w:iCs/>
          <w:sz w:val="16"/>
          <w:szCs w:val="16"/>
          <w:u w:val="none"/>
        </w:rPr>
        <w:t xml:space="preserve"> </w:t>
      </w:r>
      <w:r w:rsidR="00582940" w:rsidRPr="00613B92">
        <w:rPr>
          <w:rStyle w:val="FootnoteReference"/>
          <w:rFonts w:asciiTheme="minorHAnsi" w:hAnsiTheme="minorHAnsi" w:cstheme="minorHAnsi"/>
          <w:b w:val="0"/>
          <w:i/>
          <w:noProof w:val="0"/>
          <w:sz w:val="16"/>
        </w:rPr>
        <w:t xml:space="preserve"> </w:t>
      </w:r>
      <w:hyperlink w:history="1">
        <w:r w:rsidR="00582940" w:rsidRPr="00613B92">
          <w:rPr>
            <w:rStyle w:val="Hyperlink"/>
            <w:rFonts w:asciiTheme="minorHAnsi" w:hAnsiTheme="minorHAnsi" w:cstheme="minorHAnsi"/>
            <w:noProof w:val="0"/>
            <w:sz w:val="16"/>
            <w:szCs w:val="16"/>
            <w:lang w:eastAsia="pt-PT"/>
          </w:rPr>
          <w:t>www.lusofonias.n</w:t>
        </w:r>
        <w:r w:rsidR="00582940" w:rsidRPr="00613B92">
          <w:rPr>
            <w:rStyle w:val="Hyperlink"/>
            <w:rFonts w:asciiTheme="minorHAnsi" w:hAnsiTheme="minorHAnsi" w:cstheme="minorHAnsi"/>
            <w:noProof w:val="0"/>
            <w:sz w:val="16"/>
            <w:szCs w:val="16"/>
          </w:rPr>
          <w:t xml:space="preserve">et </w:t>
        </w:r>
        <w:r w:rsidR="00582940" w:rsidRPr="00613B92">
          <w:rPr>
            <w:rStyle w:val="Hyperlink"/>
            <w:rFonts w:asciiTheme="minorHAnsi" w:hAnsiTheme="minorHAnsi" w:cstheme="minorHAnsi"/>
            <w:noProof w:val="0"/>
            <w:sz w:val="16"/>
            <w:szCs w:val="16"/>
            <w:lang w:eastAsia="pt-PT"/>
          </w:rPr>
          <w:t xml:space="preserve">  </w:t>
        </w:r>
        <w:r w:rsidR="00582940" w:rsidRPr="00613B92">
          <w:rPr>
            <w:rStyle w:val="Hyperlink"/>
            <w:rFonts w:asciiTheme="minorHAnsi" w:hAnsiTheme="minorHAnsi" w:cstheme="minorHAnsi"/>
            <w:noProof w:val="0"/>
            <w:sz w:val="16"/>
            <w:szCs w:val="16"/>
          </w:rPr>
          <w:t xml:space="preserve"> </w:t>
        </w:r>
      </w:hyperlink>
      <w:r w:rsidR="00582940" w:rsidRPr="00613B92">
        <w:rPr>
          <w:rStyle w:val="FootnoteReference"/>
          <w:rFonts w:asciiTheme="minorHAnsi" w:hAnsiTheme="minorHAnsi" w:cstheme="minorHAnsi"/>
          <w:b w:val="0"/>
          <w:i/>
          <w:noProof w:val="0"/>
          <w:sz w:val="16"/>
        </w:rPr>
        <w:t xml:space="preserve"> </w:t>
      </w:r>
    </w:p>
    <w:p w14:paraId="426C3057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bookmarkStart w:id="0" w:name="_Hlk58001211"/>
      <w:r w:rsidRPr="00613B92">
        <w:rPr>
          <w:rStyle w:val="FootnoteReference"/>
          <w:sz w:val="16"/>
        </w:rPr>
        <w:t>J. Chrys Chrystello (n. 1949), cidadão australiano, não só acredita em multiculturalismo, como é disso um exemplo numa família mesclada de galego, minhoto, brasileiro (carioca), alemão, paterno e Cristão-Novo transmontano materno.</w:t>
      </w:r>
    </w:p>
    <w:p w14:paraId="4B873ED7" w14:textId="77777777" w:rsidR="00A238FB" w:rsidRPr="00613B92" w:rsidRDefault="00A238FB" w:rsidP="00A238FB">
      <w:pPr>
        <w:ind w:firstLine="284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>De 1967 até hoje</w:t>
      </w:r>
      <w:r w:rsidRPr="00613B92">
        <w:rPr>
          <w:sz w:val="16"/>
          <w:szCs w:val="16"/>
        </w:rPr>
        <w:t>,</w:t>
      </w:r>
      <w:r w:rsidRPr="00613B92">
        <w:rPr>
          <w:rStyle w:val="FootnoteReference"/>
          <w:sz w:val="16"/>
        </w:rPr>
        <w:t xml:space="preserve"> dedicou-se sempre ao jornalismo (rádio, TV e imprensa). </w:t>
      </w:r>
    </w:p>
    <w:p w14:paraId="1E8291A7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 xml:space="preserve">Como poeta, publicou o primeiro livro em </w:t>
      </w:r>
      <w:bookmarkStart w:id="1" w:name="_Hlk186985713"/>
      <w:r w:rsidRPr="00613B92">
        <w:rPr>
          <w:rStyle w:val="FootnoteReference"/>
          <w:sz w:val="16"/>
        </w:rPr>
        <w:t>1972</w:t>
      </w:r>
      <w:r w:rsidRPr="00613B92">
        <w:rPr>
          <w:sz w:val="16"/>
          <w:szCs w:val="16"/>
        </w:rPr>
        <w:t>,</w:t>
      </w:r>
      <w:r w:rsidRPr="00613B92">
        <w:rPr>
          <w:rStyle w:val="FootnoteReference"/>
          <w:sz w:val="16"/>
        </w:rPr>
        <w:t xml:space="preserve"> “Crónica do Quotidiano Inútil”. </w:t>
      </w:r>
    </w:p>
    <w:bookmarkEnd w:id="1"/>
    <w:p w14:paraId="121A7B74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>O exército colonial português levou-o à sua primeira pátria, Timor Português (1973-75), onde foi editor-chefe do jornal A Voz de Timor, em Díli, e interessou-se pela linguística, confrontado com mais de 30 dialetos, antes de ir à Austrália, adotando-a como segunda pátria. Durante mais de duas décadas (1976-99) escreveu sobre o drama de Timor</w:t>
      </w:r>
      <w:r w:rsidRPr="00613B92">
        <w:rPr>
          <w:sz w:val="16"/>
          <w:szCs w:val="16"/>
        </w:rPr>
        <w:t>,</w:t>
      </w:r>
      <w:r w:rsidRPr="00613B92">
        <w:rPr>
          <w:rStyle w:val="FootnoteReference"/>
          <w:sz w:val="16"/>
        </w:rPr>
        <w:t xml:space="preserve"> cuja saga o mundo recusava ver. </w:t>
      </w:r>
    </w:p>
    <w:p w14:paraId="1CFEC512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 xml:space="preserve">De 1976 a 1982 desempenhou funções executivas na Companhia de Eletricidade de Macau. Foi jornalista (Redator, apresentador e produtor) na Emissora de Radiofusão de Macau - Rádio Macau - TDM (RTP) e correspondente da TVB (Hong Kong). </w:t>
      </w:r>
    </w:p>
    <w:p w14:paraId="74DAF24B" w14:textId="361C40A4" w:rsidR="00A238FB" w:rsidRPr="00613B92" w:rsidRDefault="00A238FB" w:rsidP="00A238FB">
      <w:pPr>
        <w:ind w:firstLine="284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 xml:space="preserve">Viveu em Perth (1979), radicou-se em Sydney (1983) e </w:t>
      </w:r>
      <w:proofErr w:type="gramStart"/>
      <w:r w:rsidRPr="00613B92">
        <w:rPr>
          <w:sz w:val="16"/>
          <w:szCs w:val="16"/>
        </w:rPr>
        <w:t>em</w:t>
      </w:r>
      <w:proofErr w:type="gramEnd"/>
      <w:r w:rsidRPr="00613B92">
        <w:rPr>
          <w:sz w:val="16"/>
          <w:szCs w:val="16"/>
        </w:rPr>
        <w:t xml:space="preserve"> </w:t>
      </w:r>
      <w:r w:rsidRPr="00613B92">
        <w:rPr>
          <w:rStyle w:val="FootnoteReference"/>
          <w:sz w:val="16"/>
        </w:rPr>
        <w:t xml:space="preserve">Melbourne (1993), estando ativamente envolvido no movimento sindical e nas instâncias oficiais da função pública que definiram a política multicultural do país. </w:t>
      </w:r>
    </w:p>
    <w:p w14:paraId="0E8E0E47" w14:textId="77777777" w:rsidR="00A238FB" w:rsidRPr="00613B92" w:rsidRDefault="00A238FB" w:rsidP="00A238FB">
      <w:pPr>
        <w:ind w:firstLine="284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 xml:space="preserve">Foi jornalista no Ministério Federal do Emprego, Educação e Formação Profissional e no Ministério da Saúde, Habitação e Serviços Comunitários. </w:t>
      </w:r>
    </w:p>
    <w:p w14:paraId="7AC663F9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 xml:space="preserve">Foi Tradutor Oficial (federal e estadual) e Intérprete no Ministério da Imigração e no Ministério da Saúde em Nova Gales do Sul. </w:t>
      </w:r>
    </w:p>
    <w:p w14:paraId="27F651C7" w14:textId="77777777" w:rsidR="00A238FB" w:rsidRPr="00613B92" w:rsidRDefault="00A238FB" w:rsidP="00A238FB">
      <w:pPr>
        <w:ind w:firstLine="284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 xml:space="preserve">Divulgou, desde 1985, a descoberta da chegada dos portugueses (mais de 250 anos antes do capitão Cook) e difundiu a existência de tribos aborígenes que falavam crioulo português. </w:t>
      </w:r>
    </w:p>
    <w:p w14:paraId="2FABFEC2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>Durante 20 anos (1984-2004) foi responsável pelos exames de tradutores e intérpretes (NAATI - National Authority for the Accreditation of Translators &amp; Interpreters).</w:t>
      </w:r>
    </w:p>
    <w:p w14:paraId="74592C8B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>Foi fundador (em 1989) do AUSIT (Australian Institute of Translators and Interpreters).</w:t>
      </w:r>
    </w:p>
    <w:p w14:paraId="1C0EC90F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 xml:space="preserve">Lecionou Tradutologia, Linguística e Estudos Multiculturais  na Univ. de Tecnologia de Sydney para a NAATI </w:t>
      </w:r>
    </w:p>
    <w:p w14:paraId="7E4401F6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>Foi Assessor de Literatura Portuguesa do Australia Council (UTS 1999-05).</w:t>
      </w:r>
    </w:p>
    <w:p w14:paraId="120C3F71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>Foi mentor dos finalistas de Literatura (Association for Computational Linguistics, Information Technology Research Institute) da University of Brighton, no Reino Unido (2000-12).</w:t>
      </w:r>
    </w:p>
    <w:p w14:paraId="7AEA9C4D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>Foi Revisor (Translation Studies Department) da Universidade de Helsínquia (2005-12) e Consultor do Programa REMA da Universidade dos Açores (2008-12)</w:t>
      </w:r>
    </w:p>
    <w:p w14:paraId="157B3667" w14:textId="77777777" w:rsidR="00A238FB" w:rsidRPr="00613B92" w:rsidRDefault="00A238FB" w:rsidP="00A238FB">
      <w:pPr>
        <w:ind w:firstLine="284"/>
        <w:rPr>
          <w:rStyle w:val="FootnoteReference"/>
          <w:sz w:val="16"/>
        </w:rPr>
      </w:pPr>
      <w:bookmarkStart w:id="2" w:name="_Hlk186985685"/>
      <w:r w:rsidRPr="00613B92">
        <w:rPr>
          <w:rStyle w:val="FootnoteReference"/>
          <w:sz w:val="16"/>
        </w:rPr>
        <w:t>Em 1999, publicou a tese bilingue do seu MA, “Timor-Leste: o dossiê secreto 1973-1975”, esgotada ao fim de três dias, e o primeiro volume da Trilogia sobre a História de Timor.</w:t>
      </w:r>
    </w:p>
    <w:p w14:paraId="32E2CDC8" w14:textId="77777777" w:rsidR="00A238FB" w:rsidRPr="00613B92" w:rsidRDefault="00A238FB" w:rsidP="00A238FB">
      <w:pPr>
        <w:ind w:firstLine="284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 xml:space="preserve">Em 2000, publicou a monografia "Crónicas Austrais 1976-96". </w:t>
      </w:r>
    </w:p>
    <w:p w14:paraId="41FD4C9F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 xml:space="preserve">Em 2005, o "Cancioneiro Transmontano" e  o 2º volume da trilogia "Timor-Leste: 1983-92, Historiografia de um Repórter". </w:t>
      </w:r>
    </w:p>
    <w:p w14:paraId="2D7136DF" w14:textId="77777777" w:rsidR="00A238FB" w:rsidRPr="00613B92" w:rsidRDefault="00A238FB" w:rsidP="00A238FB">
      <w:pPr>
        <w:ind w:firstLine="284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 xml:space="preserve">Após 2005, traduziu excertos de autores açorianos para Inglês na Antologia Bilingue de Autores Açorianos Contemporâneos. </w:t>
      </w:r>
    </w:p>
    <w:p w14:paraId="6B52CAF2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>Em 2007, editou o 3º volume da Trilogia da História de Timor, “As guerras tribais”. “A história repete-se 1894-2006”</w:t>
      </w:r>
    </w:p>
    <w:p w14:paraId="6240A01F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 xml:space="preserve">Em 2009, publicou o vol. 1 "ChrónicAçores: uma Circum-navegação, De Timor a Macau, Austrália, Brasil, Bragança até aos Açores" (esgotado), cronicando as suas viagens pelo mundo. </w:t>
      </w:r>
    </w:p>
    <w:p w14:paraId="644BA8FD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>Em 2012, lançou a obra completa de poesia “Crónica do Quotidiano Inútil (vol. 1 a 5)”, 40 anos de vida literária,” e o 2º volume de “ChrónicAçores: uma Circum-navegação, De Timor a Macau, Austrália, Brasil, Bragança até aos Açores"</w:t>
      </w:r>
    </w:p>
    <w:p w14:paraId="459EE90C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>Em 2015 lançou a 4ª edição de “Crónicas Austrais 1978-1998” e reeditou os 3 volumes da “Trilogia da História de Timor”. Fez a revisão e compilação da obra de D. Ximenes Belo, “Pe. Carlos da Rocha Pereira”, da série Missionários Açorianos em Timor.</w:t>
      </w:r>
    </w:p>
    <w:p w14:paraId="7C5F43DA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 xml:space="preserve">Em 2017, lançou o opus magistral “Bibliografia Geral da Açorianidade”, em 2 vols (1600 pp., com 19411 entradas). </w:t>
      </w:r>
    </w:p>
    <w:p w14:paraId="6DBB01DF" w14:textId="77777777" w:rsidR="00A238FB" w:rsidRPr="00613B92" w:rsidRDefault="00A238FB" w:rsidP="00A238FB">
      <w:pPr>
        <w:ind w:firstLine="284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>Em 2017, adaptou e traduziu “O Mundo Perdido de Timor-Leste”, de José Ramos-Horta e Patricia Vickers-Rich.</w:t>
      </w:r>
    </w:p>
    <w:p w14:paraId="3A43B5A2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 xml:space="preserve"> Em 2018 “Fotoemas”, e-book, com fotos de Fátima Salcedo e poemas seus </w:t>
      </w:r>
      <w:hyperlink r:id="rId9" w:history="1">
        <w:r w:rsidRPr="00613B92">
          <w:rPr>
            <w:rStyle w:val="FootnoteReference"/>
            <w:sz w:val="16"/>
          </w:rPr>
          <w:t>http://www.blurb.com/books/8752953-fotoemas</w:t>
        </w:r>
      </w:hyperlink>
    </w:p>
    <w:p w14:paraId="529BD7CD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>Em 2018, realizou a revisão e a compilação do vol. 2 de “Missionários açorianos em Timor”, de D. Ximenes Belo.</w:t>
      </w:r>
    </w:p>
    <w:p w14:paraId="3FB2A60B" w14:textId="5F50B428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>É editor dos Cadernos (de Estudos) Açorianos da AICL,</w:t>
      </w:r>
      <w:r w:rsidRPr="00613B92">
        <w:rPr>
          <w:sz w:val="16"/>
          <w:szCs w:val="16"/>
        </w:rPr>
        <w:t xml:space="preserve"> </w:t>
      </w:r>
      <w:r w:rsidRPr="00613B92">
        <w:rPr>
          <w:rStyle w:val="FootnoteReference"/>
          <w:sz w:val="16"/>
        </w:rPr>
        <w:t>publicação online.</w:t>
      </w:r>
    </w:p>
    <w:p w14:paraId="4398D447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>Em 2019 foi nomeado Vice-Presidente para a Oceânia do Movimento Poetas do Mundo e admitido como membro do Pen International (Açores)</w:t>
      </w:r>
    </w:p>
    <w:p w14:paraId="5914914A" w14:textId="77777777" w:rsidR="00A238FB" w:rsidRPr="00613B92" w:rsidRDefault="00A238FB" w:rsidP="00A238FB">
      <w:pPr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 xml:space="preserve">Preside, desde 2010, à Direção da Associação Internacional dos Colóquios da Lusofonia que organiza desde 2001, Colóquios da Lusofonia (39 edições). </w:t>
      </w:r>
    </w:p>
    <w:p w14:paraId="0516BA80" w14:textId="77777777" w:rsidR="00A238FB" w:rsidRPr="00613B92" w:rsidRDefault="00A238FB" w:rsidP="00A238FB">
      <w:pPr>
        <w:ind w:firstLine="284"/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 xml:space="preserve">Em 2022 comemorou 50 anos de vida literária com 3 livros </w:t>
      </w:r>
    </w:p>
    <w:p w14:paraId="53FD6238" w14:textId="77777777" w:rsidR="00A238FB" w:rsidRPr="00613B92" w:rsidRDefault="00A238FB" w:rsidP="00A238FB">
      <w:pPr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 xml:space="preserve">Crónica do quotidiano Inútil (obras completas de poesia vols 1 a 6); </w:t>
      </w:r>
    </w:p>
    <w:p w14:paraId="3AADCE25" w14:textId="77777777" w:rsidR="00A238FB" w:rsidRPr="00613B92" w:rsidRDefault="00A238FB" w:rsidP="00A238FB">
      <w:pPr>
        <w:jc w:val="both"/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>ChrónicAçores: uma circum-navegação, 1949-05, volume</w:t>
      </w:r>
      <w:r w:rsidRPr="00613B92">
        <w:rPr>
          <w:sz w:val="16"/>
          <w:szCs w:val="16"/>
        </w:rPr>
        <w:t xml:space="preserve"> </w:t>
      </w:r>
      <w:r w:rsidRPr="00613B92">
        <w:rPr>
          <w:rStyle w:val="FootnoteReference"/>
          <w:sz w:val="16"/>
        </w:rPr>
        <w:t xml:space="preserve">5, Liames e Epifanias Autobiográficas; e </w:t>
      </w:r>
    </w:p>
    <w:p w14:paraId="38CA2614" w14:textId="77777777" w:rsidR="00A238FB" w:rsidRPr="00613B92" w:rsidRDefault="00A238FB" w:rsidP="00A238FB">
      <w:pPr>
        <w:rPr>
          <w:sz w:val="16"/>
          <w:szCs w:val="16"/>
        </w:rPr>
      </w:pPr>
      <w:r w:rsidRPr="00613B92">
        <w:rPr>
          <w:rStyle w:val="FootnoteReference"/>
          <w:sz w:val="16"/>
        </w:rPr>
        <w:t>ChrónicAçores: uma circum-navegação, 2005-21, volume 6, Alumbramento, Crónicas do Éden</w:t>
      </w:r>
      <w:bookmarkEnd w:id="0"/>
      <w:r w:rsidRPr="00613B92">
        <w:rPr>
          <w:rStyle w:val="FootnoteReference"/>
          <w:sz w:val="16"/>
        </w:rPr>
        <w:t>.</w:t>
      </w:r>
      <w:bookmarkEnd w:id="2"/>
    </w:p>
    <w:p w14:paraId="3E238F6E" w14:textId="77777777" w:rsidR="00A238FB" w:rsidRPr="00613B92" w:rsidRDefault="00A238FB" w:rsidP="00A238FB">
      <w:pPr>
        <w:rPr>
          <w:rStyle w:val="FootnoteReference"/>
          <w:sz w:val="16"/>
        </w:rPr>
      </w:pPr>
      <w:r w:rsidRPr="00613B92">
        <w:rPr>
          <w:sz w:val="16"/>
          <w:szCs w:val="16"/>
        </w:rPr>
        <w:t xml:space="preserve">    </w:t>
      </w:r>
      <w:r w:rsidRPr="00613B92">
        <w:rPr>
          <w:rStyle w:val="FootnoteReference"/>
          <w:sz w:val="16"/>
        </w:rPr>
        <w:t xml:space="preserve">Em 2024, editou “29 Poemas, 29 anos com a Nini” em homenagem póstuma a Helena Chrystello. </w:t>
      </w:r>
    </w:p>
    <w:p w14:paraId="75423158" w14:textId="77777777" w:rsidR="00A238FB" w:rsidRPr="00613B92" w:rsidRDefault="00A238FB" w:rsidP="00A238FB">
      <w:pPr>
        <w:tabs>
          <w:tab w:val="left" w:pos="57"/>
          <w:tab w:val="left" w:pos="142"/>
          <w:tab w:val="left" w:pos="284"/>
        </w:tabs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ab/>
      </w:r>
      <w:r w:rsidRPr="00613B92">
        <w:rPr>
          <w:rStyle w:val="FootnoteReference"/>
          <w:sz w:val="16"/>
        </w:rPr>
        <w:tab/>
        <w:t>Em 2025, lança ChrónicAçores (volume 7 - 2021-2023): A Circum-Navegação pós-COVID-19 e ChrónicAçores (volume 8 - 2023-2024): Diário de um Homem Só, uma viagem interior (In memoriam Helena Chrystello)</w:t>
      </w:r>
      <w:r w:rsidRPr="00613B92">
        <w:rPr>
          <w:sz w:val="16"/>
          <w:szCs w:val="16"/>
        </w:rPr>
        <w:t>.</w:t>
      </w:r>
    </w:p>
    <w:p w14:paraId="076BFAA1" w14:textId="77777777" w:rsidR="00A238FB" w:rsidRPr="00613B92" w:rsidRDefault="00A238FB" w:rsidP="00A238FB">
      <w:pPr>
        <w:tabs>
          <w:tab w:val="left" w:pos="57"/>
          <w:tab w:val="left" w:pos="142"/>
          <w:tab w:val="left" w:pos="284"/>
        </w:tabs>
        <w:rPr>
          <w:rStyle w:val="FootnoteReference"/>
          <w:sz w:val="16"/>
        </w:rPr>
      </w:pPr>
      <w:r w:rsidRPr="00613B92">
        <w:rPr>
          <w:rStyle w:val="FootnoteReference"/>
          <w:sz w:val="16"/>
        </w:rPr>
        <w:tab/>
      </w:r>
      <w:r w:rsidRPr="00613B92">
        <w:rPr>
          <w:sz w:val="16"/>
          <w:szCs w:val="16"/>
        </w:rPr>
        <w:t xml:space="preserve">   </w:t>
      </w:r>
      <w:r w:rsidRPr="00613B92">
        <w:rPr>
          <w:rStyle w:val="FootnoteReference"/>
          <w:sz w:val="16"/>
        </w:rPr>
        <w:t>Em 2026, lança ChrónicAçores (volume 9, 2025): Diário de um homem só II, Manual para viúvos</w:t>
      </w:r>
      <w:r w:rsidRPr="00613B92">
        <w:rPr>
          <w:sz w:val="16"/>
          <w:szCs w:val="16"/>
        </w:rPr>
        <w:t xml:space="preserve"> </w:t>
      </w:r>
      <w:r w:rsidRPr="00613B92">
        <w:rPr>
          <w:rStyle w:val="FootnoteReference"/>
          <w:sz w:val="16"/>
        </w:rPr>
        <w:t>e uma segunda edição melhorada de “ChrónicAçores: uma circum-navegação, 1949-05, volume 5, Liames e Epifanias Autobiográficas”.</w:t>
      </w:r>
    </w:p>
    <w:p w14:paraId="788B690C" w14:textId="6CD63A58" w:rsidR="00D02CAA" w:rsidRPr="00613B92" w:rsidRDefault="00D02CAA" w:rsidP="00A238FB">
      <w:pPr>
        <w:jc w:val="center"/>
        <w:rPr>
          <w:rFonts w:cstheme="minorHAnsi"/>
          <w:i/>
          <w:iCs/>
          <w:sz w:val="16"/>
          <w:szCs w:val="16"/>
        </w:rPr>
      </w:pPr>
    </w:p>
    <w:sectPr w:rsidR="00D02CAA" w:rsidRPr="00613B92" w:rsidSect="009A1AB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6164"/>
    <w:multiLevelType w:val="hybridMultilevel"/>
    <w:tmpl w:val="062AD844"/>
    <w:lvl w:ilvl="0" w:tplc="5BCC36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C18DC"/>
    <w:multiLevelType w:val="hybridMultilevel"/>
    <w:tmpl w:val="B150DC54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0190">
    <w:abstractNumId w:val="0"/>
  </w:num>
  <w:num w:numId="2" w16cid:durableId="157628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ztzAxN7UwMDcyMbFQ0lEKTi0uzszPAykwqQUA3y9+iiwAAAA="/>
  </w:docVars>
  <w:rsids>
    <w:rsidRoot w:val="00390179"/>
    <w:rsid w:val="00043843"/>
    <w:rsid w:val="0004394A"/>
    <w:rsid w:val="0004742F"/>
    <w:rsid w:val="000A064B"/>
    <w:rsid w:val="000A5256"/>
    <w:rsid w:val="000C4BDE"/>
    <w:rsid w:val="000C7F1A"/>
    <w:rsid w:val="000D2DAF"/>
    <w:rsid w:val="000D3E8A"/>
    <w:rsid w:val="000E5366"/>
    <w:rsid w:val="000F7287"/>
    <w:rsid w:val="00126DBA"/>
    <w:rsid w:val="00154D1D"/>
    <w:rsid w:val="001767A5"/>
    <w:rsid w:val="00190AC8"/>
    <w:rsid w:val="001A03AA"/>
    <w:rsid w:val="001B28E6"/>
    <w:rsid w:val="001C2DE7"/>
    <w:rsid w:val="001D4546"/>
    <w:rsid w:val="001E08B0"/>
    <w:rsid w:val="001E5F22"/>
    <w:rsid w:val="001F5CCD"/>
    <w:rsid w:val="002622C7"/>
    <w:rsid w:val="00267760"/>
    <w:rsid w:val="00271F45"/>
    <w:rsid w:val="002820CD"/>
    <w:rsid w:val="002820F1"/>
    <w:rsid w:val="00297141"/>
    <w:rsid w:val="002A4D77"/>
    <w:rsid w:val="002E614C"/>
    <w:rsid w:val="00317536"/>
    <w:rsid w:val="003326F1"/>
    <w:rsid w:val="003551CD"/>
    <w:rsid w:val="00371FE6"/>
    <w:rsid w:val="00372045"/>
    <w:rsid w:val="00372B06"/>
    <w:rsid w:val="003871D2"/>
    <w:rsid w:val="00390179"/>
    <w:rsid w:val="003A3B64"/>
    <w:rsid w:val="003C0BDC"/>
    <w:rsid w:val="003D63CB"/>
    <w:rsid w:val="004074DE"/>
    <w:rsid w:val="00416148"/>
    <w:rsid w:val="00441DE4"/>
    <w:rsid w:val="004B11C6"/>
    <w:rsid w:val="004B5498"/>
    <w:rsid w:val="004C4778"/>
    <w:rsid w:val="004F7448"/>
    <w:rsid w:val="0050231F"/>
    <w:rsid w:val="00520B45"/>
    <w:rsid w:val="00524144"/>
    <w:rsid w:val="00526B29"/>
    <w:rsid w:val="00575969"/>
    <w:rsid w:val="00582940"/>
    <w:rsid w:val="00586463"/>
    <w:rsid w:val="00586584"/>
    <w:rsid w:val="005B7283"/>
    <w:rsid w:val="005E4459"/>
    <w:rsid w:val="005F046A"/>
    <w:rsid w:val="00613B92"/>
    <w:rsid w:val="00642DFB"/>
    <w:rsid w:val="00661A4C"/>
    <w:rsid w:val="00682686"/>
    <w:rsid w:val="00690068"/>
    <w:rsid w:val="00692205"/>
    <w:rsid w:val="0069622F"/>
    <w:rsid w:val="006D4285"/>
    <w:rsid w:val="006E5B14"/>
    <w:rsid w:val="00714D01"/>
    <w:rsid w:val="00757B5E"/>
    <w:rsid w:val="007B517E"/>
    <w:rsid w:val="0080380D"/>
    <w:rsid w:val="008058D9"/>
    <w:rsid w:val="0081762C"/>
    <w:rsid w:val="008208D5"/>
    <w:rsid w:val="00843E7A"/>
    <w:rsid w:val="008604DA"/>
    <w:rsid w:val="00877246"/>
    <w:rsid w:val="008A30ED"/>
    <w:rsid w:val="008C0365"/>
    <w:rsid w:val="008C3092"/>
    <w:rsid w:val="008C4133"/>
    <w:rsid w:val="008F0008"/>
    <w:rsid w:val="0095163F"/>
    <w:rsid w:val="00954ADD"/>
    <w:rsid w:val="00992A6E"/>
    <w:rsid w:val="00997EF9"/>
    <w:rsid w:val="009B3121"/>
    <w:rsid w:val="009F111A"/>
    <w:rsid w:val="009F14C3"/>
    <w:rsid w:val="00A17613"/>
    <w:rsid w:val="00A238FB"/>
    <w:rsid w:val="00A34D50"/>
    <w:rsid w:val="00A37013"/>
    <w:rsid w:val="00A52B08"/>
    <w:rsid w:val="00A67D70"/>
    <w:rsid w:val="00AB3D86"/>
    <w:rsid w:val="00AF1B82"/>
    <w:rsid w:val="00AF5BD6"/>
    <w:rsid w:val="00B158A9"/>
    <w:rsid w:val="00B17484"/>
    <w:rsid w:val="00B3013B"/>
    <w:rsid w:val="00B313DF"/>
    <w:rsid w:val="00B36EA5"/>
    <w:rsid w:val="00B95CE2"/>
    <w:rsid w:val="00B9798F"/>
    <w:rsid w:val="00BD252D"/>
    <w:rsid w:val="00BD657D"/>
    <w:rsid w:val="00BE0CCB"/>
    <w:rsid w:val="00BE1792"/>
    <w:rsid w:val="00BE3F4E"/>
    <w:rsid w:val="00C10B05"/>
    <w:rsid w:val="00C15323"/>
    <w:rsid w:val="00C2278B"/>
    <w:rsid w:val="00C33B17"/>
    <w:rsid w:val="00C35DC2"/>
    <w:rsid w:val="00C62DF6"/>
    <w:rsid w:val="00C719F6"/>
    <w:rsid w:val="00CA0999"/>
    <w:rsid w:val="00CA73EF"/>
    <w:rsid w:val="00CB63EC"/>
    <w:rsid w:val="00CD73E5"/>
    <w:rsid w:val="00CF44DD"/>
    <w:rsid w:val="00D02CAA"/>
    <w:rsid w:val="00D047D1"/>
    <w:rsid w:val="00D1665D"/>
    <w:rsid w:val="00D2169B"/>
    <w:rsid w:val="00D71842"/>
    <w:rsid w:val="00DA3E15"/>
    <w:rsid w:val="00DD13CB"/>
    <w:rsid w:val="00DD51CC"/>
    <w:rsid w:val="00DE419A"/>
    <w:rsid w:val="00E230C8"/>
    <w:rsid w:val="00E41149"/>
    <w:rsid w:val="00E55B13"/>
    <w:rsid w:val="00E724BD"/>
    <w:rsid w:val="00E85561"/>
    <w:rsid w:val="00EB2355"/>
    <w:rsid w:val="00EC7F54"/>
    <w:rsid w:val="00ED3B1E"/>
    <w:rsid w:val="00F36235"/>
    <w:rsid w:val="00F65094"/>
    <w:rsid w:val="00F6797C"/>
    <w:rsid w:val="00F702C9"/>
    <w:rsid w:val="00F715A1"/>
    <w:rsid w:val="00F71B9D"/>
    <w:rsid w:val="00FA10C6"/>
    <w:rsid w:val="00FB416A"/>
    <w:rsid w:val="00FE0EA0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03AC"/>
  <w15:chartTrackingRefBased/>
  <w15:docId w15:val="{6D45B9FA-73B5-4545-8B5F-5D3B5178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CCB"/>
    <w:pPr>
      <w:spacing w:after="0" w:line="240" w:lineRule="auto"/>
    </w:pPr>
    <w:rPr>
      <w:rFonts w:eastAsiaTheme="minorEastAsia"/>
      <w:lang w:val="pt-BR" w:eastAsia="ja-JP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ED3B1E"/>
    <w:pPr>
      <w:pBdr>
        <w:top w:val="dotted" w:sz="6" w:space="2" w:color="44546A" w:themeColor="text2"/>
      </w:pBdr>
      <w:spacing w:before="200" w:line="264" w:lineRule="auto"/>
      <w:outlineLvl w:val="3"/>
    </w:pPr>
    <w:rPr>
      <w:rFonts w:asciiTheme="majorHAnsi" w:eastAsiaTheme="majorEastAsia" w:hAnsiTheme="majorHAnsi" w:cstheme="majorBidi"/>
      <w:b/>
      <w:caps/>
      <w:color w:val="323E4F" w:themeColor="text2" w:themeShade="BF"/>
      <w:spacing w:val="1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3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autoRedefine/>
    <w:unhideWhenUsed/>
    <w:qFormat/>
    <w:rsid w:val="00BE0CCB"/>
    <w:pPr>
      <w:spacing w:before="200"/>
      <w:ind w:firstLine="426"/>
      <w:outlineLvl w:val="8"/>
    </w:pPr>
    <w:rPr>
      <w:rFonts w:asciiTheme="majorHAnsi" w:eastAsiaTheme="majorEastAsia" w:hAnsiTheme="majorHAnsi" w:cstheme="majorBidi"/>
      <w:b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D3B1E"/>
    <w:rPr>
      <w:rFonts w:asciiTheme="majorHAnsi" w:eastAsiaTheme="majorEastAsia" w:hAnsiTheme="majorHAnsi" w:cstheme="majorBidi"/>
      <w:b/>
      <w:caps/>
      <w:color w:val="323E4F" w:themeColor="text2" w:themeShade="BF"/>
      <w:spacing w:val="10"/>
      <w:sz w:val="24"/>
      <w:lang w:eastAsia="ja-JP"/>
    </w:rPr>
  </w:style>
  <w:style w:type="character" w:customStyle="1" w:styleId="Heading9Char">
    <w:name w:val="Heading 9 Char"/>
    <w:basedOn w:val="DefaultParagraphFont"/>
    <w:link w:val="Heading9"/>
    <w:rsid w:val="00BE0CCB"/>
    <w:rPr>
      <w:rFonts w:asciiTheme="majorHAnsi" w:eastAsiaTheme="majorEastAsia" w:hAnsiTheme="majorHAnsi" w:cstheme="majorBidi"/>
      <w:b/>
      <w:i/>
      <w:iCs/>
      <w:caps/>
      <w:spacing w:val="10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3901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4D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55B13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3E5"/>
    <w:rPr>
      <w:rFonts w:asciiTheme="majorHAnsi" w:eastAsiaTheme="majorEastAsia" w:hAnsiTheme="majorHAnsi" w:cstheme="majorBidi"/>
      <w:color w:val="1F4D78" w:themeColor="accent1" w:themeShade="7F"/>
      <w:lang w:val="pt-BR" w:eastAsia="ja-JP"/>
    </w:rPr>
  </w:style>
  <w:style w:type="table" w:styleId="TableGrid">
    <w:name w:val="Table Grid"/>
    <w:basedOn w:val="TableNormal"/>
    <w:uiPriority w:val="39"/>
    <w:rsid w:val="00CD73E5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liases w:val="Azul"/>
    <w:basedOn w:val="DefaultParagraphFont"/>
    <w:uiPriority w:val="20"/>
    <w:qFormat/>
    <w:rsid w:val="002E614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6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5D"/>
    <w:rPr>
      <w:rFonts w:ascii="Segoe UI" w:eastAsiaTheme="minorEastAsia" w:hAnsi="Segoe UI" w:cs="Segoe UI"/>
      <w:sz w:val="18"/>
      <w:szCs w:val="18"/>
      <w:lang w:val="pt-BR" w:eastAsia="ja-JP"/>
    </w:rPr>
  </w:style>
  <w:style w:type="paragraph" w:customStyle="1" w:styleId="Default">
    <w:name w:val="Default"/>
    <w:rsid w:val="00D1665D"/>
    <w:pPr>
      <w:autoSpaceDE w:val="0"/>
      <w:autoSpaceDN w:val="0"/>
      <w:adjustRightInd w:val="0"/>
      <w:spacing w:after="0" w:line="240" w:lineRule="auto"/>
    </w:pPr>
    <w:rPr>
      <w:rFonts w:ascii="Gill Sans Ultra Bold Condensed" w:eastAsiaTheme="minorEastAsia" w:hAnsi="Gill Sans Ultra Bold Condensed" w:cs="Gill Sans Ultra Bold Condensed"/>
      <w:color w:val="000000"/>
      <w:sz w:val="24"/>
      <w:szCs w:val="24"/>
      <w:lang w:eastAsia="pt-PT"/>
    </w:rPr>
  </w:style>
  <w:style w:type="paragraph" w:styleId="Quote">
    <w:name w:val="Quote"/>
    <w:basedOn w:val="Subtitle"/>
    <w:next w:val="Normal"/>
    <w:link w:val="QuoteChar"/>
    <w:autoRedefine/>
    <w:uiPriority w:val="29"/>
    <w:qFormat/>
    <w:rsid w:val="00416148"/>
    <w:pPr>
      <w:spacing w:after="0"/>
      <w:ind w:left="284" w:firstLine="284"/>
      <w:jc w:val="both"/>
    </w:pPr>
    <w:rPr>
      <w:rFonts w:ascii="Franklin Gothic Book" w:hAnsi="Franklin Gothic Book" w:cs="Times New Roman"/>
      <w:i/>
      <w:noProof/>
      <w:color w:val="auto"/>
      <w:spacing w:val="0"/>
      <w:sz w:val="18"/>
      <w:szCs w:val="18"/>
      <w:lang w:val="pt-PT" w:eastAsia="en-US"/>
    </w:rPr>
  </w:style>
  <w:style w:type="character" w:customStyle="1" w:styleId="QuoteChar">
    <w:name w:val="Quote Char"/>
    <w:basedOn w:val="DefaultParagraphFont"/>
    <w:link w:val="Quote"/>
    <w:uiPriority w:val="29"/>
    <w:rsid w:val="00416148"/>
    <w:rPr>
      <w:rFonts w:ascii="Franklin Gothic Book" w:eastAsiaTheme="minorEastAsia" w:hAnsi="Franklin Gothic Book" w:cs="Times New Roman"/>
      <w:i/>
      <w:noProof/>
      <w:sz w:val="18"/>
      <w:szCs w:val="18"/>
    </w:rPr>
  </w:style>
  <w:style w:type="character" w:styleId="FootnoteReference">
    <w:name w:val="footnote reference"/>
    <w:aliases w:val="aa Footnote Reference"/>
    <w:basedOn w:val="DefaultParagraphFont"/>
    <w:qFormat/>
    <w:rsid w:val="00416148"/>
    <w:rPr>
      <w:rFonts w:ascii="Franklin Gothic Book" w:hAnsi="Franklin Gothic Book" w:cs="Tahoma" w:hint="default"/>
      <w:b/>
      <w:i/>
      <w:iCs w:val="0"/>
      <w:color w:val="auto"/>
      <w:sz w:val="18"/>
      <w:szCs w:val="16"/>
      <w:vertAlign w:val="baseline"/>
      <w:lang w:val="pt-PT" w:eastAsia="pt-PT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14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6148"/>
    <w:rPr>
      <w:rFonts w:eastAsiaTheme="minorEastAsia"/>
      <w:color w:val="5A5A5A" w:themeColor="text1" w:themeTint="A5"/>
      <w:spacing w:val="15"/>
      <w:lang w:val="pt-BR" w:eastAsia="ja-JP"/>
    </w:rPr>
  </w:style>
  <w:style w:type="character" w:styleId="Strong">
    <w:name w:val="Strong"/>
    <w:uiPriority w:val="22"/>
    <w:rsid w:val="00D02CAA"/>
    <w:rPr>
      <w:rFonts w:ascii="Minion Pro" w:hAnsi="Minion Pro"/>
      <w:b w:val="0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ys@lusofonia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lurb.com/books/8752953-fotoem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859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chrystello AICL</dc:creator>
  <cp:keywords/>
  <dc:description/>
  <cp:lastModifiedBy>Chrys</cp:lastModifiedBy>
  <cp:revision>29</cp:revision>
  <cp:lastPrinted>2026-02-15T14:24:00Z</cp:lastPrinted>
  <dcterms:created xsi:type="dcterms:W3CDTF">2016-11-21T21:51:00Z</dcterms:created>
  <dcterms:modified xsi:type="dcterms:W3CDTF">2026-02-15T15:22:00Z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f2479278-bbe4-4f10-b95d-50373cd477a0</vt:lpwstr>
  </property>
</Properties>
</file>